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99F" w:rsidRDefault="005C1C57">
      <w:pPr>
        <w:spacing w:before="240"/>
        <w:rPr>
          <w:b/>
          <w:sz w:val="26"/>
          <w:szCs w:val="26"/>
        </w:rPr>
      </w:pPr>
      <w:r>
        <w:rPr>
          <w:b/>
          <w:sz w:val="26"/>
          <w:szCs w:val="26"/>
        </w:rPr>
        <w:t>STORYBOARD</w:t>
      </w:r>
    </w:p>
    <w:p w:rsidR="001C499F" w:rsidRDefault="005C1C57">
      <w:pPr>
        <w:spacing w:before="240"/>
        <w:rPr>
          <w:sz w:val="26"/>
          <w:szCs w:val="26"/>
        </w:rPr>
      </w:pPr>
      <w:r>
        <w:rPr>
          <w:sz w:val="26"/>
          <w:szCs w:val="26"/>
        </w:rPr>
        <w:t>Titolo: Oggi come ieri per affrontare il domani</w:t>
      </w:r>
    </w:p>
    <w:p w:rsidR="001C499F" w:rsidRDefault="005C1C57">
      <w:pPr>
        <w:spacing w:before="240"/>
        <w:rPr>
          <w:sz w:val="26"/>
          <w:szCs w:val="26"/>
        </w:rPr>
      </w:pPr>
      <w:r>
        <w:rPr>
          <w:sz w:val="26"/>
          <w:szCs w:val="26"/>
        </w:rPr>
        <w:t>Chi siamo:</w:t>
      </w:r>
    </w:p>
    <w:p w:rsidR="001C499F" w:rsidRDefault="005C1C57">
      <w:pPr>
        <w:spacing w:before="240"/>
        <w:rPr>
          <w:sz w:val="26"/>
          <w:szCs w:val="26"/>
        </w:rPr>
      </w:pPr>
      <w:r>
        <w:rPr>
          <w:sz w:val="26"/>
          <w:szCs w:val="26"/>
        </w:rPr>
        <w:t>Barone Leonardo = Sceneggiatore, parte sonora</w:t>
      </w:r>
    </w:p>
    <w:p w:rsidR="001C499F" w:rsidRDefault="005C1C57">
      <w:pPr>
        <w:spacing w:before="240"/>
        <w:rPr>
          <w:sz w:val="26"/>
          <w:szCs w:val="26"/>
        </w:rPr>
      </w:pPr>
      <w:r>
        <w:rPr>
          <w:sz w:val="26"/>
          <w:szCs w:val="26"/>
        </w:rPr>
        <w:t>Calcagno Maria Elisa = Sceneggiatore</w:t>
      </w:r>
    </w:p>
    <w:p w:rsidR="001C499F" w:rsidRDefault="005C1C57">
      <w:pPr>
        <w:spacing w:before="240"/>
        <w:rPr>
          <w:sz w:val="26"/>
          <w:szCs w:val="26"/>
        </w:rPr>
      </w:pPr>
      <w:proofErr w:type="spellStart"/>
      <w:r>
        <w:rPr>
          <w:sz w:val="26"/>
          <w:szCs w:val="26"/>
        </w:rPr>
        <w:t>Catelani</w:t>
      </w:r>
      <w:proofErr w:type="spellEnd"/>
      <w:r>
        <w:rPr>
          <w:sz w:val="26"/>
          <w:szCs w:val="26"/>
        </w:rPr>
        <w:t xml:space="preserve"> Giulia = Produttore esecutivo, sceneggiatore</w:t>
      </w:r>
    </w:p>
    <w:p w:rsidR="001C499F" w:rsidRDefault="005C1C57">
      <w:pPr>
        <w:spacing w:before="240"/>
        <w:rPr>
          <w:sz w:val="26"/>
          <w:szCs w:val="26"/>
        </w:rPr>
      </w:pPr>
      <w:proofErr w:type="spellStart"/>
      <w:r>
        <w:rPr>
          <w:sz w:val="26"/>
          <w:szCs w:val="26"/>
        </w:rPr>
        <w:t>Taiti</w:t>
      </w:r>
      <w:proofErr w:type="spellEnd"/>
      <w:r>
        <w:rPr>
          <w:sz w:val="26"/>
          <w:szCs w:val="26"/>
        </w:rPr>
        <w:t xml:space="preserve"> Andrea = direttore della fotografia</w:t>
      </w:r>
    </w:p>
    <w:p w:rsidR="001C499F" w:rsidRDefault="005C1C57">
      <w:pPr>
        <w:spacing w:before="240"/>
        <w:rPr>
          <w:sz w:val="26"/>
          <w:szCs w:val="26"/>
        </w:rPr>
      </w:pPr>
      <w:r>
        <w:rPr>
          <w:sz w:val="26"/>
          <w:szCs w:val="26"/>
        </w:rPr>
        <w:t>Durata: 6 min.</w:t>
      </w:r>
    </w:p>
    <w:p w:rsidR="001C499F" w:rsidRDefault="005C1C57">
      <w:r>
        <w:t xml:space="preserve">                                             TEMPO                     DIALOGHI</w:t>
      </w:r>
    </w:p>
    <w:tbl>
      <w:tblPr>
        <w:tblStyle w:val="a"/>
        <w:tblW w:w="7335" w:type="dxa"/>
        <w:tblInd w:w="0" w:type="dxa"/>
        <w:tblLayout w:type="fixed"/>
        <w:tblLook w:val="0600" w:firstRow="0" w:lastRow="0" w:firstColumn="0" w:lastColumn="0" w:noHBand="1" w:noVBand="1"/>
      </w:tblPr>
      <w:tblGrid>
        <w:gridCol w:w="2445"/>
        <w:gridCol w:w="1440"/>
        <w:gridCol w:w="3450"/>
      </w:tblGrid>
      <w:tr w:rsidR="001C499F">
        <w:trPr>
          <w:trHeight w:val="675"/>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spacing w:after="120"/>
              <w:rPr>
                <w:sz w:val="24"/>
                <w:szCs w:val="24"/>
              </w:rPr>
            </w:pPr>
            <w:r>
              <w:rPr>
                <w:sz w:val="24"/>
                <w:szCs w:val="24"/>
              </w:rPr>
              <w:t>SCENA 1: immagine con titolo</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5 Sec.</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 xml:space="preserve">Titolo: PTCO, ambasciatori digitali dell’arte, giardino di </w:t>
            </w:r>
            <w:proofErr w:type="spellStart"/>
            <w:r>
              <w:rPr>
                <w:sz w:val="24"/>
                <w:szCs w:val="24"/>
              </w:rPr>
              <w:t>Boboli</w:t>
            </w:r>
            <w:proofErr w:type="spellEnd"/>
          </w:p>
          <w:p w:rsidR="001C499F" w:rsidRDefault="005C1C57">
            <w:pPr>
              <w:rPr>
                <w:sz w:val="24"/>
                <w:szCs w:val="24"/>
              </w:rPr>
            </w:pPr>
            <w:r>
              <w:rPr>
                <w:sz w:val="24"/>
                <w:szCs w:val="24"/>
              </w:rPr>
              <w:t>“Oggi come ieri per domani”</w:t>
            </w:r>
          </w:p>
        </w:tc>
      </w:tr>
      <w:tr w:rsidR="001C499F">
        <w:trPr>
          <w:trHeight w:val="1485"/>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SCENA 2:Introduzione</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45 Sec.</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spacing w:after="120"/>
              <w:rPr>
                <w:sz w:val="24"/>
                <w:szCs w:val="24"/>
              </w:rPr>
            </w:pPr>
            <w:r>
              <w:rPr>
                <w:sz w:val="24"/>
                <w:szCs w:val="24"/>
              </w:rPr>
              <w:t>Come ormai sappiamo, il mondo è stato travolto da una pandemia globale che ha cambiato radicalmente la vita di tutti noi. La storia ci insegna che non è la prima volta in cui l’uomo è costretto a fronteggiare una tragedia con un così alto numero di vittime, ma da quest'ultima sappiamo anche che l’uomo ha sempre saputo rialzarsi a testa alta. Ne è un grande esempio la ripresa dopo la guerra di Troia…</w:t>
            </w:r>
          </w:p>
          <w:p w:rsidR="001C499F" w:rsidRDefault="001C499F">
            <w:pPr>
              <w:rPr>
                <w:sz w:val="24"/>
                <w:szCs w:val="24"/>
              </w:rPr>
            </w:pPr>
          </w:p>
        </w:tc>
      </w:tr>
      <w:tr w:rsidR="001C499F">
        <w:trPr>
          <w:trHeight w:val="675"/>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SCENA 3:Mito di Elena</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1 Min.</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spacing w:after="120"/>
              <w:rPr>
                <w:sz w:val="24"/>
                <w:szCs w:val="24"/>
              </w:rPr>
            </w:pPr>
            <w:r>
              <w:rPr>
                <w:sz w:val="24"/>
                <w:szCs w:val="24"/>
              </w:rPr>
              <w:t xml:space="preserve">Tutti noi sappiamo che la guerra di Troia fu scatenata in seguito al rapimento della graziosa Elena, moglie del re di Sparta Menelao e figlia di Tindaro, da parte di Paride, guerriero troiano che si </w:t>
            </w:r>
            <w:r>
              <w:rPr>
                <w:sz w:val="24"/>
                <w:szCs w:val="24"/>
              </w:rPr>
              <w:lastRenderedPageBreak/>
              <w:t>invaghisce della fanciulla. Tutto ebbe inizio durante un banchetto con tre stupende dee che litigavano su chi fosse la migliore tra loro, Paride assegnò la mela d’oro con su scritto “alla più bella” ad Afrodite e gli promise che la donna più bella del mondo si sarebbe innamorata di lui, infatti riuscì a conquistare Elena. Menelao e Paride si scontrarono in un duello per avere in palio Elena e tutte le sue ricchezze, ma qui Paride stava avendo la peggio e fu salvato dalla dea Afrodite che circondò i duellanti con una fitta nebbia e portò lo via. Alla fine il guerriero troiano ed Elena scapparono insieme e così scoppiò la guerra tra troiani e spartani.  La guerra durò circa 10 anni e terminò con la sconfitta dei troiani, ma Enea, guerriero troiano riuscito a sopravvivere, sarà colui che fonderà Roma.</w:t>
            </w:r>
          </w:p>
          <w:p w:rsidR="001C499F" w:rsidRDefault="001C499F">
            <w:pPr>
              <w:rPr>
                <w:sz w:val="24"/>
                <w:szCs w:val="24"/>
              </w:rPr>
            </w:pPr>
          </w:p>
        </w:tc>
      </w:tr>
      <w:tr w:rsidR="001C499F">
        <w:trPr>
          <w:trHeight w:val="1485"/>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lastRenderedPageBreak/>
              <w:t xml:space="preserve">SCENA 4:Commento artistico del “rapimento di Elena”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1 Min.</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spacing w:after="240"/>
              <w:rPr>
                <w:sz w:val="26"/>
                <w:szCs w:val="26"/>
              </w:rPr>
            </w:pPr>
            <w:r>
              <w:rPr>
                <w:sz w:val="24"/>
                <w:szCs w:val="24"/>
              </w:rPr>
              <w:t xml:space="preserve">La statua di Elena e Paride fu scolpita da Vincenzo de Rossi nel 1558 anche se entrò nel giardino di </w:t>
            </w:r>
            <w:proofErr w:type="spellStart"/>
            <w:r>
              <w:rPr>
                <w:sz w:val="24"/>
                <w:szCs w:val="24"/>
              </w:rPr>
              <w:t>Boboli</w:t>
            </w:r>
            <w:proofErr w:type="spellEnd"/>
            <w:r>
              <w:rPr>
                <w:sz w:val="24"/>
                <w:szCs w:val="24"/>
              </w:rPr>
              <w:t xml:space="preserve"> solo nel 1587, ad oggi infatti si trova dentro quest’ultimo, di preciso nella grotta del </w:t>
            </w:r>
            <w:proofErr w:type="spellStart"/>
            <w:r>
              <w:rPr>
                <w:sz w:val="24"/>
                <w:szCs w:val="24"/>
              </w:rPr>
              <w:t>Buontalenti</w:t>
            </w:r>
            <w:proofErr w:type="spellEnd"/>
            <w:r>
              <w:rPr>
                <w:sz w:val="24"/>
                <w:szCs w:val="24"/>
              </w:rPr>
              <w:t xml:space="preserve">. De Rossi fu un artista toscano nato nel 1525 e morto nel 1587, caratterizzato da una </w:t>
            </w:r>
            <w:r>
              <w:rPr>
                <w:sz w:val="26"/>
                <w:szCs w:val="26"/>
              </w:rPr>
              <w:t>grande forza espressiva.</w:t>
            </w:r>
          </w:p>
          <w:p w:rsidR="001C499F" w:rsidRDefault="005C1C57">
            <w:pPr>
              <w:spacing w:before="240" w:after="240"/>
              <w:rPr>
                <w:sz w:val="24"/>
                <w:szCs w:val="24"/>
              </w:rPr>
            </w:pPr>
            <w:r>
              <w:rPr>
                <w:sz w:val="24"/>
                <w:szCs w:val="24"/>
              </w:rPr>
              <w:lastRenderedPageBreak/>
              <w:t>La scultura è a base quadrangolare a tutto tondo ed è costruita interamente in marmo bianco. I personaggi principali sono Paride e Elena, mentre di contorno troviamo rappresentati una scrofa (simbolo dell’antica città di Troia), una spada, un tronco e un drappo. I due protagonisti sono rappresentati in un momento fuggente, infatti anche se sono stretti in un abbraccio, lei sembra turbata, quasi come se stesse opponendo resistenza. Da questo dettaglio capiamo che stiamo osservando il suo rapimento.</w:t>
            </w:r>
          </w:p>
          <w:p w:rsidR="001C499F" w:rsidRDefault="005C1C57" w:rsidP="009C412E">
            <w:pPr>
              <w:spacing w:before="240" w:after="240"/>
              <w:rPr>
                <w:sz w:val="24"/>
                <w:szCs w:val="24"/>
              </w:rPr>
            </w:pPr>
            <w:r>
              <w:rPr>
                <w:sz w:val="24"/>
                <w:szCs w:val="24"/>
              </w:rPr>
              <w:t>Quest'opera però non è considerata molto ben riuscita, infatti si possono notare il gigantismo della figura e l’eccessiva attenzione al dettaglio (più “centellinato” che scolpito). Al contrario sono notevoli il dosaggio delle proporzioni che asseconda la prospettiva verso l’alto il bilanciamento generale, come le due figure di grandezza diversa.</w:t>
            </w:r>
          </w:p>
        </w:tc>
      </w:tr>
      <w:tr w:rsidR="001C499F">
        <w:trPr>
          <w:trHeight w:val="675"/>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lastRenderedPageBreak/>
              <w:t xml:space="preserve">SCENA 5:Mito del </w:t>
            </w:r>
            <w:proofErr w:type="spellStart"/>
            <w:r>
              <w:rPr>
                <w:sz w:val="24"/>
                <w:szCs w:val="24"/>
              </w:rPr>
              <w:t>tindaro</w:t>
            </w:r>
            <w:proofErr w:type="spellEnd"/>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30 Sec.</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rsidP="009C412E">
            <w:pPr>
              <w:spacing w:after="120"/>
              <w:rPr>
                <w:sz w:val="24"/>
                <w:szCs w:val="24"/>
              </w:rPr>
            </w:pPr>
            <w:r>
              <w:rPr>
                <w:sz w:val="24"/>
                <w:szCs w:val="24"/>
              </w:rPr>
              <w:t xml:space="preserve">Tindaro, re di Sparta, è noto per essere il padre di Elena. Nei miti viene descritto come padre adottivo di Elena e di uno dei quattro fratelli che sembrano essere figli di Zeus. Tindaro teneva molto a lei infatti si preoccupò quando trovò molti pretendenti di ogni </w:t>
            </w:r>
            <w:r>
              <w:rPr>
                <w:sz w:val="24"/>
                <w:szCs w:val="24"/>
              </w:rPr>
              <w:lastRenderedPageBreak/>
              <w:t>città (polis) pronti a prendere in moglie la bellissima e molto contesa Elena. Fece infatti stipulare un giuramento con ognuno di essi con l’obbligo di intervenire in caso di pericolo. Grazie a quest’ultimo, quando Elena fu rapita da Paride, Tindaro chiese nuovamente l’aiuto di tutti i vecchi pretendenti che furono obbligati a seguirlo, sostenerlo e intraprendere la guerra con lui.</w:t>
            </w:r>
          </w:p>
        </w:tc>
      </w:tr>
      <w:tr w:rsidR="001C499F">
        <w:trPr>
          <w:trHeight w:val="1215"/>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lastRenderedPageBreak/>
              <w:t>SCENA 6:Commento artistico “Tindaro Screpolato”</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1 Min.</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spacing w:after="240"/>
              <w:rPr>
                <w:sz w:val="24"/>
                <w:szCs w:val="24"/>
              </w:rPr>
            </w:pPr>
            <w:r>
              <w:rPr>
                <w:sz w:val="24"/>
                <w:szCs w:val="24"/>
              </w:rPr>
              <w:t xml:space="preserve">La testa del Tindaro Screpolato fu realizzata dallo scultore polacco Igor </w:t>
            </w:r>
            <w:proofErr w:type="spellStart"/>
            <w:r>
              <w:rPr>
                <w:sz w:val="24"/>
                <w:szCs w:val="24"/>
              </w:rPr>
              <w:t>Mitoraj</w:t>
            </w:r>
            <w:proofErr w:type="spellEnd"/>
            <w:r>
              <w:rPr>
                <w:sz w:val="24"/>
                <w:szCs w:val="24"/>
              </w:rPr>
              <w:t xml:space="preserve"> intorno al 1997.</w:t>
            </w:r>
          </w:p>
          <w:p w:rsidR="001C499F" w:rsidRDefault="005C1C57">
            <w:pPr>
              <w:spacing w:before="240" w:after="240"/>
              <w:rPr>
                <w:sz w:val="24"/>
                <w:szCs w:val="24"/>
              </w:rPr>
            </w:pPr>
            <w:r>
              <w:rPr>
                <w:sz w:val="24"/>
                <w:szCs w:val="24"/>
              </w:rPr>
              <w:t>L’opera, alta poco più di 4 metri e realizzata in bronzo, fu concepita dall'autore come un’unità (?) che insieme ad altre sculture tra cui teste, occhi, bocche andava ad ampliare il repertorio di figure con cui l’autore costituì la propria personalissima mitologia.</w:t>
            </w:r>
          </w:p>
          <w:p w:rsidR="001C499F" w:rsidRDefault="005C1C57">
            <w:pPr>
              <w:spacing w:before="240" w:after="240"/>
              <w:rPr>
                <w:sz w:val="24"/>
                <w:szCs w:val="24"/>
              </w:rPr>
            </w:pPr>
            <w:r>
              <w:rPr>
                <w:sz w:val="24"/>
                <w:szCs w:val="24"/>
              </w:rPr>
              <w:t xml:space="preserve">Queste opere si impongono allo spettatore come monito dell’incessante scorrere del tempo, ma sono parallelamente simbolo della resistenza della bellezza classica che resiste. Nasce da qui, appunto, l'aggettivo “screpolato”. </w:t>
            </w:r>
          </w:p>
          <w:p w:rsidR="001C499F" w:rsidRDefault="005C1C57" w:rsidP="009C412E">
            <w:pPr>
              <w:spacing w:before="240" w:after="240"/>
              <w:rPr>
                <w:sz w:val="24"/>
                <w:szCs w:val="24"/>
              </w:rPr>
            </w:pPr>
            <w:r>
              <w:rPr>
                <w:sz w:val="24"/>
                <w:szCs w:val="24"/>
              </w:rPr>
              <w:t xml:space="preserve">Oggi questo imponente volto, che fu donato alla galleria degli Uffizi, si può incontrare nei </w:t>
            </w:r>
            <w:r>
              <w:rPr>
                <w:sz w:val="24"/>
                <w:szCs w:val="24"/>
              </w:rPr>
              <w:lastRenderedPageBreak/>
              <w:t xml:space="preserve">pressi del grande prato dei Castagni, all’interno del Giardino di </w:t>
            </w:r>
            <w:proofErr w:type="spellStart"/>
            <w:r>
              <w:rPr>
                <w:sz w:val="24"/>
                <w:szCs w:val="24"/>
              </w:rPr>
              <w:t>Boboli</w:t>
            </w:r>
            <w:proofErr w:type="spellEnd"/>
            <w:r>
              <w:rPr>
                <w:sz w:val="24"/>
                <w:szCs w:val="24"/>
              </w:rPr>
              <w:t>.</w:t>
            </w:r>
          </w:p>
        </w:tc>
      </w:tr>
      <w:tr w:rsidR="001C499F">
        <w:trPr>
          <w:trHeight w:val="675"/>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lastRenderedPageBreak/>
              <w:t>SCENA 7:Conclusione</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1 Min.</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392A92">
            <w:pPr>
              <w:spacing w:after="120"/>
              <w:rPr>
                <w:sz w:val="24"/>
                <w:szCs w:val="24"/>
              </w:rPr>
            </w:pPr>
            <w:r>
              <w:rPr>
                <w:sz w:val="24"/>
                <w:szCs w:val="24"/>
              </w:rPr>
              <w:t xml:space="preserve">è interessante notare come </w:t>
            </w:r>
            <w:r w:rsidR="005C1C57">
              <w:rPr>
                <w:sz w:val="24"/>
                <w:szCs w:val="24"/>
              </w:rPr>
              <w:t>la visione della mitologia greca possa variare in due epoche completamente diverse e lontane. Infatti di D</w:t>
            </w:r>
            <w:r>
              <w:rPr>
                <w:sz w:val="24"/>
                <w:szCs w:val="24"/>
              </w:rPr>
              <w:t>e Rossi realizza l’opera con un’</w:t>
            </w:r>
            <w:bookmarkStart w:id="0" w:name="_GoBack"/>
            <w:bookmarkEnd w:id="0"/>
            <w:r w:rsidR="005C1C57">
              <w:rPr>
                <w:sz w:val="24"/>
                <w:szCs w:val="24"/>
              </w:rPr>
              <w:t xml:space="preserve">ispirazione classica, mentre </w:t>
            </w:r>
            <w:proofErr w:type="spellStart"/>
            <w:r w:rsidR="005C1C57">
              <w:rPr>
                <w:sz w:val="24"/>
                <w:szCs w:val="24"/>
              </w:rPr>
              <w:t>Mitoraj</w:t>
            </w:r>
            <w:proofErr w:type="spellEnd"/>
            <w:r w:rsidR="005C1C57">
              <w:rPr>
                <w:sz w:val="24"/>
                <w:szCs w:val="24"/>
              </w:rPr>
              <w:t xml:space="preserve"> più rivoluzionaria. Inoltre Thomas Mann diceva che: “il mito è il fondamento della vita, uno schema senza tempo, la formula secondo cui la vita si esprime quando fugge al di fuori dell’inconscio”. La pandemia che stiamo affrontando ci ha messo di fronte ad uno stile di vita che non avremmo mai potuto immaginare che ci ha travolto costringendoci a modificare le nostre abitudini.</w:t>
            </w:r>
          </w:p>
          <w:p w:rsidR="001C499F" w:rsidRDefault="005C1C57">
            <w:pPr>
              <w:spacing w:after="120"/>
              <w:rPr>
                <w:sz w:val="24"/>
                <w:szCs w:val="24"/>
              </w:rPr>
            </w:pPr>
            <w:r>
              <w:rPr>
                <w:sz w:val="24"/>
                <w:szCs w:val="24"/>
              </w:rPr>
              <w:t>Ovviamente ad ognuno di noi manca la normalità per come la conosciamo, ma guardando ai miti precedentemente esposti capiamo che abbiamo l’obbligo di non scoraggiarci poiché, come Enea dalle ceneri di Troia fondò Roma, quella che fu la città più gloriosa di sempre, anche l’umanità intera del 21esimo secolo saprà risorgere come una fenice.</w:t>
            </w:r>
          </w:p>
          <w:p w:rsidR="001C499F" w:rsidRDefault="001C499F">
            <w:pPr>
              <w:rPr>
                <w:sz w:val="24"/>
                <w:szCs w:val="24"/>
              </w:rPr>
            </w:pPr>
          </w:p>
        </w:tc>
      </w:tr>
      <w:tr w:rsidR="001C499F">
        <w:trPr>
          <w:trHeight w:val="420"/>
        </w:trPr>
        <w:tc>
          <w:tcPr>
            <w:tcW w:w="24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SCENA 8: immagine con nomi</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10 sec</w:t>
            </w:r>
          </w:p>
        </w:tc>
        <w:tc>
          <w:tcPr>
            <w:tcW w:w="34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1C499F" w:rsidRDefault="005C1C57">
            <w:pPr>
              <w:rPr>
                <w:sz w:val="24"/>
                <w:szCs w:val="24"/>
              </w:rPr>
            </w:pPr>
            <w:r>
              <w:rPr>
                <w:sz w:val="24"/>
                <w:szCs w:val="24"/>
              </w:rPr>
              <w:t>nomi che scorrono su sfondo nero</w:t>
            </w:r>
          </w:p>
        </w:tc>
      </w:tr>
    </w:tbl>
    <w:p w:rsidR="001C499F" w:rsidRDefault="001C499F"/>
    <w:sectPr w:rsidR="001C499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99F"/>
    <w:rsid w:val="001C499F"/>
    <w:rsid w:val="00392A92"/>
    <w:rsid w:val="005C1C57"/>
    <w:rsid w:val="009C41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C7657"/>
  <w15:docId w15:val="{3AF71449-BC31-4BE5-A03A-407E3EAA9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00" w:after="120"/>
      <w:outlineLvl w:val="0"/>
    </w:pPr>
    <w:rPr>
      <w:sz w:val="40"/>
      <w:szCs w:val="40"/>
    </w:rPr>
  </w:style>
  <w:style w:type="paragraph" w:styleId="Titolo2">
    <w:name w:val="heading 2"/>
    <w:basedOn w:val="Normale"/>
    <w:next w:val="Normale"/>
    <w:pPr>
      <w:keepNext/>
      <w:keepLines/>
      <w:spacing w:before="360" w:after="120"/>
      <w:outlineLvl w:val="1"/>
    </w:pPr>
    <w:rPr>
      <w:sz w:val="32"/>
      <w:szCs w:val="32"/>
    </w:rPr>
  </w:style>
  <w:style w:type="paragraph" w:styleId="Titolo3">
    <w:name w:val="heading 3"/>
    <w:basedOn w:val="Normale"/>
    <w:next w:val="Normale"/>
    <w:pPr>
      <w:keepNext/>
      <w:keepLines/>
      <w:spacing w:before="320" w:after="80"/>
      <w:outlineLvl w:val="2"/>
    </w:pPr>
    <w:rPr>
      <w:color w:val="434343"/>
      <w:sz w:val="28"/>
      <w:szCs w:val="28"/>
    </w:rPr>
  </w:style>
  <w:style w:type="paragraph" w:styleId="Titolo4">
    <w:name w:val="heading 4"/>
    <w:basedOn w:val="Normale"/>
    <w:next w:val="Normale"/>
    <w:pPr>
      <w:keepNext/>
      <w:keepLines/>
      <w:spacing w:before="280" w:after="80"/>
      <w:outlineLvl w:val="3"/>
    </w:pPr>
    <w:rPr>
      <w:color w:val="666666"/>
      <w:sz w:val="24"/>
      <w:szCs w:val="24"/>
    </w:rPr>
  </w:style>
  <w:style w:type="paragraph" w:styleId="Titolo5">
    <w:name w:val="heading 5"/>
    <w:basedOn w:val="Normale"/>
    <w:next w:val="Normale"/>
    <w:pPr>
      <w:keepNext/>
      <w:keepLines/>
      <w:spacing w:before="240" w:after="80"/>
      <w:outlineLvl w:val="4"/>
    </w:pPr>
    <w:rPr>
      <w:color w:val="666666"/>
    </w:rPr>
  </w:style>
  <w:style w:type="paragraph" w:styleId="Titolo6">
    <w:name w:val="heading 6"/>
    <w:basedOn w:val="Normale"/>
    <w:next w:val="Normale"/>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60"/>
    </w:pPr>
    <w:rPr>
      <w:sz w:val="52"/>
      <w:szCs w:val="52"/>
    </w:rPr>
  </w:style>
  <w:style w:type="paragraph" w:styleId="Sottotitolo">
    <w:name w:val="Subtitle"/>
    <w:basedOn w:val="Normale"/>
    <w:next w:val="Normale"/>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9B43236D40C164CA4D26F2838EB2E0F" ma:contentTypeVersion="7" ma:contentTypeDescription="Creare un nuovo documento." ma:contentTypeScope="" ma:versionID="fa481dc023dafbef676ee69ebc30bfc7">
  <xsd:schema xmlns:xsd="http://www.w3.org/2001/XMLSchema" xmlns:xs="http://www.w3.org/2001/XMLSchema" xmlns:p="http://schemas.microsoft.com/office/2006/metadata/properties" xmlns:ns2="599ac2fa-8472-43d5-b2e4-3ea4e52c7a94" targetNamespace="http://schemas.microsoft.com/office/2006/metadata/properties" ma:root="true" ma:fieldsID="fe3ccaa5a222b79aeaf2c1b3be60363d" ns2:_="">
    <xsd:import namespace="599ac2fa-8472-43d5-b2e4-3ea4e52c7a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ac2fa-8472-43d5-b2e4-3ea4e52c7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9D99B4-B7CF-4137-B7E1-3A12F90182C2}">
  <ds:schemaRefs>
    <ds:schemaRef ds:uri="http://schemas.microsoft.com/sharepoint/v3/contenttype/forms"/>
  </ds:schemaRefs>
</ds:datastoreItem>
</file>

<file path=customXml/itemProps2.xml><?xml version="1.0" encoding="utf-8"?>
<ds:datastoreItem xmlns:ds="http://schemas.openxmlformats.org/officeDocument/2006/customXml" ds:itemID="{F63A42B8-A817-4958-BCBB-D37C649D05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386BB-3169-4AC0-A483-4861E456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ac2fa-8472-43d5-b2e4-3ea4e52c7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850</Words>
  <Characters>4850</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Giuliana Tesoriere</dc:creator>
  <cp:lastModifiedBy>Giuliana Tesoriere</cp:lastModifiedBy>
  <cp:revision>4</cp:revision>
  <dcterms:created xsi:type="dcterms:W3CDTF">2021-04-09T19:37:00Z</dcterms:created>
  <dcterms:modified xsi:type="dcterms:W3CDTF">2021-04-10T16:33:00Z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0x01010089B43236D40C164CA4D26F2838EB2E0F</vt:lpwstr>
  </property>
</Properties>
</file>